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540"/>
        </w:tabs>
        <w:spacing w:before="50" w:line="440" w:lineRule="exact"/>
        <w:rPr>
          <w:rFonts w:hint="eastAsia" w:ascii="仿宋_GB2312" w:hAnsi="宋体"/>
          <w:b/>
          <w:bCs/>
          <w:sz w:val="36"/>
          <w:szCs w:val="36"/>
        </w:rPr>
      </w:pPr>
      <w:r>
        <w:rPr>
          <w:rFonts w:hint="eastAsia" w:ascii="仿宋_GB2312" w:hAnsi="仿宋" w:cs="仿宋"/>
          <w:sz w:val="30"/>
          <w:szCs w:val="30"/>
        </w:rPr>
        <w:t xml:space="preserve">附件2 </w:t>
      </w:r>
      <w:bookmarkStart w:id="0" w:name="_GoBack"/>
      <w:bookmarkEnd w:id="0"/>
      <w:r>
        <w:rPr>
          <w:rFonts w:hint="eastAsia" w:ascii="仿宋_GB2312" w:hAnsi="仿宋" w:cs="仿宋"/>
          <w:sz w:val="30"/>
          <w:szCs w:val="30"/>
        </w:rPr>
        <w:t xml:space="preserve">  </w:t>
      </w:r>
      <w:r>
        <w:rPr>
          <w:rFonts w:hint="eastAsia" w:ascii="仿宋_GB2312" w:hAnsi="宋体" w:cs="宋体"/>
          <w:b/>
          <w:bCs/>
          <w:sz w:val="36"/>
          <w:szCs w:val="36"/>
        </w:rPr>
        <w:t xml:space="preserve">2016-2017 </w:t>
      </w:r>
      <w:r>
        <w:rPr>
          <w:rFonts w:hint="eastAsia" w:ascii="仿宋_GB2312" w:hAnsi="宋体" w:cs="楷体"/>
          <w:b/>
          <w:bCs/>
          <w:sz w:val="36"/>
          <w:szCs w:val="36"/>
        </w:rPr>
        <w:t>“特步”中国大学生男子</w:t>
      </w:r>
    </w:p>
    <w:p>
      <w:pPr>
        <w:tabs>
          <w:tab w:val="left" w:pos="540"/>
        </w:tabs>
        <w:spacing w:before="50" w:line="640" w:lineRule="exact"/>
        <w:jc w:val="center"/>
        <w:rPr>
          <w:rFonts w:hint="eastAsia" w:ascii="仿宋_GB2312" w:hAnsi="宋体"/>
          <w:b/>
          <w:bCs/>
          <w:sz w:val="36"/>
          <w:szCs w:val="36"/>
        </w:rPr>
      </w:pPr>
      <w:r>
        <w:rPr>
          <w:rFonts w:hint="eastAsia" w:ascii="仿宋_GB2312" w:hAnsi="宋体" w:cs="楷体"/>
          <w:b/>
          <w:bCs/>
          <w:sz w:val="36"/>
          <w:szCs w:val="36"/>
        </w:rPr>
        <w:t>校园足球联赛商务规定</w:t>
      </w:r>
    </w:p>
    <w:p>
      <w:pPr>
        <w:tabs>
          <w:tab w:val="left" w:pos="540"/>
        </w:tabs>
        <w:spacing w:before="50" w:line="540" w:lineRule="exact"/>
        <w:rPr>
          <w:rFonts w:hint="eastAsia" w:ascii="仿宋_GB2312" w:hAnsi="仿宋" w:cs="仿宋"/>
          <w:szCs w:val="32"/>
        </w:rPr>
      </w:pPr>
      <w:r>
        <w:rPr>
          <w:rFonts w:hint="eastAsia" w:ascii="仿宋_GB2312" w:hAnsi="仿宋" w:cs="仿宋"/>
          <w:szCs w:val="32"/>
        </w:rPr>
        <w:t>各省市赛区组委会:</w:t>
      </w:r>
    </w:p>
    <w:p>
      <w:pPr>
        <w:tabs>
          <w:tab w:val="left" w:pos="540"/>
        </w:tabs>
        <w:spacing w:before="50" w:line="540" w:lineRule="exact"/>
        <w:ind w:firstLine="576" w:firstLineChars="180"/>
        <w:rPr>
          <w:rFonts w:hint="eastAsia" w:ascii="仿宋_GB2312" w:hAnsi="仿宋"/>
          <w:szCs w:val="32"/>
        </w:rPr>
      </w:pPr>
      <w:r>
        <w:rPr>
          <w:rFonts w:hint="eastAsia" w:ascii="仿宋_GB2312" w:hAnsi="仿宋" w:cs="仿宋"/>
          <w:szCs w:val="32"/>
        </w:rPr>
        <w:t>为更好地推进 2016-2017特步中国大学生男子校园足球联赛(以下简称联赛)赛事组织工作，维护联赛赞助商正当的商业权益，协助联赛商务管理机构-广东优势传媒有限公司做好联赛的包装推广工作, 现将联赛商务规定下发给各赛区，并抄送承办赛事学校，望照此执行。</w:t>
      </w:r>
    </w:p>
    <w:p>
      <w:pPr>
        <w:tabs>
          <w:tab w:val="left" w:pos="540"/>
        </w:tabs>
        <w:spacing w:before="50" w:line="540" w:lineRule="exact"/>
        <w:ind w:firstLine="576" w:firstLineChars="180"/>
        <w:rPr>
          <w:rFonts w:hint="eastAsia" w:ascii="仿宋_GB2312" w:hAnsi="仿宋"/>
          <w:szCs w:val="32"/>
        </w:rPr>
      </w:pPr>
      <w:r>
        <w:rPr>
          <w:rFonts w:hint="eastAsia" w:ascii="仿宋_GB2312" w:hAnsi="仿宋" w:cs="仿宋"/>
          <w:szCs w:val="32"/>
        </w:rPr>
        <w:t>一、中国大学生体育协会作为联赛的主办单位，拥有联赛的冠名权、广告发布权及经营管理权。联赛组委会负责具体组织工作和实施。</w:t>
      </w:r>
    </w:p>
    <w:p>
      <w:pPr>
        <w:tabs>
          <w:tab w:val="left" w:pos="540"/>
        </w:tabs>
        <w:spacing w:before="50" w:line="540" w:lineRule="exact"/>
        <w:ind w:firstLine="576" w:firstLineChars="180"/>
        <w:rPr>
          <w:rFonts w:hint="eastAsia" w:ascii="仿宋_GB2312" w:hAnsi="仿宋"/>
          <w:szCs w:val="32"/>
        </w:rPr>
      </w:pPr>
      <w:r>
        <w:rPr>
          <w:rFonts w:hint="eastAsia" w:ascii="仿宋_GB2312" w:hAnsi="仿宋" w:cs="仿宋"/>
          <w:szCs w:val="32"/>
        </w:rPr>
        <w:t>二、每个赛区应根据《竞赛规程》要求，可视情况结合赞助单位提出的城市和学校设置省预赛比赛地点，从而确保赞助单位利用赛事实施商业战略计划。</w:t>
      </w:r>
    </w:p>
    <w:p>
      <w:pPr>
        <w:tabs>
          <w:tab w:val="left" w:pos="540"/>
        </w:tabs>
        <w:spacing w:before="50" w:line="540" w:lineRule="exact"/>
        <w:ind w:firstLine="576" w:firstLineChars="180"/>
        <w:rPr>
          <w:rFonts w:hint="eastAsia" w:ascii="仿宋_GB2312" w:hAnsi="仿宋"/>
          <w:szCs w:val="32"/>
        </w:rPr>
      </w:pPr>
      <w:r>
        <w:rPr>
          <w:rFonts w:hint="eastAsia" w:ascii="仿宋_GB2312" w:hAnsi="仿宋" w:cs="仿宋"/>
          <w:szCs w:val="32"/>
        </w:rPr>
        <w:t>三、凡参赛的省市高校须在各自的学校宣传栏进行特步中国大学生校园足球联赛的宣传报道，赛前一周内领取并张贴特步中国大学生校园足球联赛的海报，拍好照片，每个参赛校在赛区比赛结束前把20张海报照片发送至cufl @cufl.com，赛事承办学校比赛前一周内和比赛期间利用校报校刊、校广播台、网站、校园官方微信及校组织的微信等宣传渠道定期进行赛事预告和报道赛事进程。</w:t>
      </w:r>
    </w:p>
    <w:p>
      <w:pPr>
        <w:tabs>
          <w:tab w:val="left" w:pos="540"/>
        </w:tabs>
        <w:spacing w:before="50" w:line="540" w:lineRule="exact"/>
        <w:ind w:firstLine="576" w:firstLineChars="180"/>
        <w:rPr>
          <w:rFonts w:hint="eastAsia" w:ascii="仿宋_GB2312" w:hAnsi="仿宋"/>
          <w:szCs w:val="32"/>
        </w:rPr>
      </w:pPr>
      <w:r>
        <w:rPr>
          <w:rFonts w:hint="eastAsia" w:ascii="仿宋_GB2312" w:hAnsi="仿宋" w:cs="仿宋"/>
          <w:szCs w:val="32"/>
        </w:rPr>
        <w:t>四、各个赛区举办地区选拔赛的学校应至少提前一周制作和悬挂“2016-2017特步中国大学生男子校园足球联赛x x省(市)x x赛区选拔赛”的主横幅，横幅长度不少于15米，宽不少于1米，横幅红底白字(方正大黑)。</w:t>
      </w:r>
    </w:p>
    <w:p>
      <w:pPr>
        <w:tabs>
          <w:tab w:val="left" w:pos="540"/>
        </w:tabs>
        <w:spacing w:before="50" w:line="540" w:lineRule="exact"/>
        <w:ind w:firstLine="576" w:firstLineChars="180"/>
        <w:rPr>
          <w:rFonts w:hint="eastAsia" w:ascii="仿宋_GB2312" w:hAnsi="仿宋"/>
          <w:szCs w:val="32"/>
        </w:rPr>
      </w:pPr>
      <w:r>
        <w:rPr>
          <w:rFonts w:hint="eastAsia" w:ascii="仿宋_GB2312" w:hAnsi="仿宋" w:cs="仿宋"/>
          <w:szCs w:val="32"/>
        </w:rPr>
        <w:t>五、凡参加第二阶段全国赛事的高校须设置一名随队记者，全程负责球队的宣传推广工作，包括：球队相关资料的搜集整理、球队训练及比赛照片拍摄、球队信息的媒体发布、球队微博微信管理以及与组委会推广委员会的日常沟通联系等；</w:t>
      </w:r>
    </w:p>
    <w:p>
      <w:pPr>
        <w:tabs>
          <w:tab w:val="left" w:pos="540"/>
        </w:tabs>
        <w:spacing w:before="50" w:line="540" w:lineRule="exact"/>
        <w:ind w:firstLine="576" w:firstLineChars="180"/>
        <w:rPr>
          <w:rFonts w:hint="eastAsia" w:ascii="仿宋_GB2312" w:hAnsi="仿宋"/>
          <w:szCs w:val="32"/>
        </w:rPr>
      </w:pPr>
      <w:r>
        <w:rPr>
          <w:rFonts w:hint="eastAsia" w:ascii="仿宋_GB2312" w:hAnsi="仿宋" w:cs="仿宋"/>
          <w:szCs w:val="32"/>
        </w:rPr>
        <w:t>六、联赛各赛区承办校需要积极协调赛点学校要保证赛场、场馆至少赛前2天供主办单位使用，并提供一切已有设施，而电视转播时要提供电源、网络、转播车位停放、导播间、拍摄脚手架等基本条件的保证。</w:t>
      </w:r>
    </w:p>
    <w:p>
      <w:pPr>
        <w:tabs>
          <w:tab w:val="left" w:pos="540"/>
        </w:tabs>
        <w:spacing w:before="50" w:line="540" w:lineRule="exact"/>
        <w:ind w:firstLine="576" w:firstLineChars="180"/>
        <w:rPr>
          <w:rFonts w:hint="eastAsia" w:ascii="仿宋_GB2312" w:hAnsi="仿宋"/>
          <w:szCs w:val="32"/>
        </w:rPr>
      </w:pPr>
      <w:r>
        <w:rPr>
          <w:rFonts w:hint="eastAsia" w:ascii="仿宋_GB2312" w:hAnsi="仿宋" w:cs="仿宋"/>
          <w:szCs w:val="32"/>
        </w:rPr>
        <w:t>七、各个承办赛区与承办校应积极配合、支持联赛商务管理机构伴随联赛同时举办的入校活动，丰富赛事的文化内涵，提供不少于500平方的活动场地（位置在学校文化广场或食堂、宿舍附近）、电源等基础设备及宣传支持。</w:t>
      </w:r>
    </w:p>
    <w:p>
      <w:pPr>
        <w:tabs>
          <w:tab w:val="left" w:pos="540"/>
        </w:tabs>
        <w:spacing w:before="50" w:line="540" w:lineRule="exact"/>
        <w:ind w:firstLine="576" w:firstLineChars="180"/>
        <w:rPr>
          <w:rFonts w:hint="eastAsia" w:ascii="仿宋_GB2312" w:hAnsi="仿宋"/>
          <w:szCs w:val="32"/>
        </w:rPr>
      </w:pPr>
      <w:r>
        <w:rPr>
          <w:rFonts w:hint="eastAsia" w:ascii="仿宋_GB2312" w:hAnsi="仿宋" w:cs="仿宋"/>
          <w:szCs w:val="32"/>
        </w:rPr>
        <w:t>八、各赛区承办单位应安排不少于30名的学生志愿者、学生记者配合联赛商务管理机构做校内外宣传报道和协助赛区推广工作。</w:t>
      </w:r>
    </w:p>
    <w:p>
      <w:pPr>
        <w:tabs>
          <w:tab w:val="left" w:pos="540"/>
        </w:tabs>
        <w:spacing w:before="50" w:line="540" w:lineRule="exact"/>
        <w:ind w:firstLine="576" w:firstLineChars="180"/>
        <w:rPr>
          <w:rFonts w:hint="eastAsia" w:ascii="仿宋_GB2312" w:hAnsi="仿宋"/>
          <w:szCs w:val="32"/>
        </w:rPr>
      </w:pPr>
      <w:r>
        <w:rPr>
          <w:rFonts w:hint="eastAsia" w:ascii="仿宋_GB2312" w:hAnsi="仿宋" w:cs="仿宋"/>
          <w:szCs w:val="32"/>
        </w:rPr>
        <w:t>九、本届联赛所有广告经营权归联赛主办单位。各参赛高校未经联赛主办单位授权不得使用联赛名称进行有关商业活动。其中：</w:t>
      </w:r>
    </w:p>
    <w:p>
      <w:pPr>
        <w:tabs>
          <w:tab w:val="left" w:pos="540"/>
        </w:tabs>
        <w:spacing w:before="50" w:line="540" w:lineRule="exact"/>
        <w:ind w:firstLine="576" w:firstLineChars="180"/>
        <w:rPr>
          <w:rFonts w:hint="eastAsia" w:ascii="仿宋_GB2312" w:hAnsi="仿宋"/>
          <w:szCs w:val="32"/>
        </w:rPr>
      </w:pPr>
      <w:r>
        <w:rPr>
          <w:rFonts w:hint="eastAsia" w:ascii="仿宋_GB2312" w:hAnsi="仿宋" w:cs="仿宋"/>
          <w:szCs w:val="32"/>
        </w:rPr>
        <w:t>1、运动员服装装备经营权：联赛商务管理机构在省内校际赛中配备正式的比赛服和出场服；凡省内赛有给参赛队员及教练员等工作人员下发装备的赛区，在比赛时必须穿联赛组委会下发的指定装备，在第二、第三阶段中，所有参赛队伍必须穿着联赛组委会下发的指定装备；在第一、第二及第三阶段中球队官员和运动员未按主办单位规定穿着装备，一律不得参加比赛或出现在球队席，如拒绝配合商务管理机构对竞品的管理，主办单位有权追究相应责任，每人次扣除200元/保证金，情况严重者，并有权禁止违规运动员、教练员参加比赛。如需购买联赛指定装备，请联系联赛组委会推广部。</w:t>
      </w:r>
    </w:p>
    <w:p>
      <w:pPr>
        <w:tabs>
          <w:tab w:val="left" w:pos="540"/>
        </w:tabs>
        <w:spacing w:before="50" w:line="540" w:lineRule="exact"/>
        <w:ind w:firstLine="576" w:firstLineChars="180"/>
        <w:rPr>
          <w:rFonts w:hint="eastAsia" w:ascii="仿宋_GB2312" w:hAnsi="仿宋"/>
          <w:szCs w:val="32"/>
        </w:rPr>
      </w:pPr>
      <w:r>
        <w:rPr>
          <w:rFonts w:hint="eastAsia" w:ascii="仿宋_GB2312" w:hAnsi="仿宋" w:cs="仿宋"/>
          <w:szCs w:val="32"/>
        </w:rPr>
        <w:t>2、场地广告: 各地赛事组委会负责提供净化的赛场，现场内(不限于赛场周围和看台)与赛事广告有关的媒介开发使用，均应在得到联赛商务管理机构的确认后使用。主办单位和承办学校各2块赛场广告板（1m x 6m），用于对主办单位和承办校的宣传。</w:t>
      </w:r>
    </w:p>
    <w:p>
      <w:pPr>
        <w:tabs>
          <w:tab w:val="left" w:pos="540"/>
        </w:tabs>
        <w:spacing w:before="50" w:line="540" w:lineRule="exact"/>
        <w:ind w:firstLine="576" w:firstLineChars="180"/>
        <w:rPr>
          <w:rFonts w:hint="eastAsia" w:ascii="仿宋_GB2312" w:hAnsi="仿宋"/>
          <w:szCs w:val="32"/>
        </w:rPr>
      </w:pPr>
      <w:r>
        <w:rPr>
          <w:rFonts w:hint="eastAsia" w:ascii="仿宋_GB2312" w:hAnsi="仿宋" w:cs="仿宋"/>
          <w:szCs w:val="32"/>
        </w:rPr>
        <w:t>3、比赛服胸前、背后广告:联赛期间各高校足球队前胸和背后广告开发权归属联赛主办单位。任何单位无权自行开发参赛运动员服装广告,违者将失掉参赛资格并扣除全部保证金；队员必须统一使用赞助单位提供的比赛服装。正规比赛服装的胸前、背后允许印制号码、参赛学校的名称和学校的标识。</w:t>
      </w:r>
    </w:p>
    <w:p>
      <w:pPr>
        <w:tabs>
          <w:tab w:val="left" w:pos="540"/>
        </w:tabs>
        <w:spacing w:before="50" w:line="540" w:lineRule="exact"/>
        <w:ind w:firstLine="576" w:firstLineChars="180"/>
        <w:rPr>
          <w:rFonts w:hint="eastAsia" w:ascii="仿宋_GB2312" w:hAnsi="仿宋"/>
          <w:szCs w:val="32"/>
        </w:rPr>
      </w:pPr>
      <w:r>
        <w:rPr>
          <w:rFonts w:hint="eastAsia" w:ascii="仿宋_GB2312" w:hAnsi="仿宋" w:cs="仿宋"/>
          <w:szCs w:val="32"/>
        </w:rPr>
        <w:t>4、比赛秩序册、参赛证件印制，奖杯、奖牌制作及广告发布权: 秩序册在地区选拔赛阶段由主办单位提供封面封底设及广告设计，赛区组委会主办单位自行统一编制、印刷制作，在第二、三阶段由主办单位编制，由推广单位统一印刷制作；奖杯奖牌在地区选拔赛阶段由各省承办单位制作，第二、三阶段由联赛推广单位统一制作。</w:t>
      </w:r>
    </w:p>
    <w:p>
      <w:pPr>
        <w:tabs>
          <w:tab w:val="left" w:pos="540"/>
        </w:tabs>
        <w:spacing w:before="50" w:line="540" w:lineRule="exact"/>
        <w:ind w:firstLine="576" w:firstLineChars="180"/>
        <w:rPr>
          <w:rFonts w:hint="eastAsia" w:ascii="仿宋_GB2312" w:hAnsi="仿宋" w:cs="仿宋"/>
          <w:szCs w:val="32"/>
        </w:rPr>
      </w:pPr>
      <w:r>
        <w:rPr>
          <w:rFonts w:hint="eastAsia" w:ascii="仿宋_GB2312" w:hAnsi="仿宋" w:cs="仿宋"/>
          <w:szCs w:val="32"/>
        </w:rPr>
        <w:t xml:space="preserve">5、专用产品赞助经营权:专用产品由联赛主办单位经营，各参赛学校根据主办单位要求使用。 </w:t>
      </w:r>
    </w:p>
    <w:p>
      <w:pPr>
        <w:tabs>
          <w:tab w:val="left" w:pos="540"/>
        </w:tabs>
        <w:spacing w:before="50" w:line="540" w:lineRule="exact"/>
        <w:ind w:firstLine="576" w:firstLineChars="180"/>
        <w:rPr>
          <w:rFonts w:hint="eastAsia" w:ascii="仿宋_GB2312" w:hAnsi="仿宋"/>
          <w:szCs w:val="32"/>
        </w:rPr>
      </w:pPr>
      <w:r>
        <w:rPr>
          <w:rFonts w:hint="eastAsia" w:ascii="仿宋_GB2312" w:hAnsi="仿宋" w:cs="仿宋"/>
          <w:szCs w:val="32"/>
        </w:rPr>
        <w:t>6、电视转播权:由联赛主办单位负责，各地赛事组委会有责任全力支持和协调配合赛事主办单位实现电视转播工作的顺利进行。</w:t>
      </w:r>
    </w:p>
    <w:p>
      <w:pPr>
        <w:tabs>
          <w:tab w:val="left" w:pos="540"/>
        </w:tabs>
        <w:spacing w:before="50" w:line="540" w:lineRule="exact"/>
        <w:ind w:firstLine="576" w:firstLineChars="180"/>
        <w:rPr>
          <w:rFonts w:hint="eastAsia" w:ascii="仿宋_GB2312" w:hAnsi="仿宋"/>
          <w:szCs w:val="32"/>
        </w:rPr>
      </w:pPr>
      <w:r>
        <w:rPr>
          <w:rFonts w:hint="eastAsia" w:ascii="仿宋_GB2312" w:hAnsi="仿宋" w:cs="仿宋"/>
          <w:szCs w:val="32"/>
        </w:rPr>
        <w:t>十、联系人及联系方式</w:t>
      </w:r>
    </w:p>
    <w:p>
      <w:pPr>
        <w:tabs>
          <w:tab w:val="left" w:pos="540"/>
        </w:tabs>
        <w:spacing w:before="50" w:line="540" w:lineRule="exact"/>
        <w:ind w:firstLine="576" w:firstLineChars="180"/>
        <w:rPr>
          <w:rFonts w:hint="eastAsia" w:ascii="仿宋_GB2312" w:hAnsi="仿宋"/>
          <w:szCs w:val="32"/>
        </w:rPr>
      </w:pPr>
      <w:r>
        <w:rPr>
          <w:rFonts w:hint="eastAsia" w:ascii="仿宋_GB2312" w:hAnsi="仿宋" w:cs="仿宋"/>
          <w:szCs w:val="32"/>
        </w:rPr>
        <w:t>中国大学生体育协会商务及产业部联系人：游嗣荣</w:t>
      </w:r>
    </w:p>
    <w:p>
      <w:pPr>
        <w:tabs>
          <w:tab w:val="left" w:pos="540"/>
        </w:tabs>
        <w:spacing w:before="50" w:line="540" w:lineRule="exact"/>
        <w:ind w:firstLine="576" w:firstLineChars="180"/>
        <w:rPr>
          <w:rFonts w:hint="eastAsia" w:ascii="仿宋_GB2312" w:hAnsi="仿宋" w:cs="仿宋"/>
          <w:szCs w:val="32"/>
        </w:rPr>
      </w:pPr>
      <w:r>
        <w:rPr>
          <w:rFonts w:hint="eastAsia" w:ascii="仿宋_GB2312" w:hAnsi="仿宋" w:cs="仿宋"/>
          <w:szCs w:val="32"/>
        </w:rPr>
        <w:t xml:space="preserve">联系电话：010-66093771        传真：010-66093777 </w:t>
      </w:r>
    </w:p>
    <w:p>
      <w:pPr>
        <w:tabs>
          <w:tab w:val="left" w:pos="540"/>
        </w:tabs>
        <w:spacing w:before="50" w:line="540" w:lineRule="exact"/>
        <w:ind w:firstLine="576" w:firstLineChars="180"/>
        <w:rPr>
          <w:rFonts w:hint="eastAsia" w:ascii="仿宋_GB2312" w:hAnsi="仿宋" w:cs="仿宋"/>
          <w:szCs w:val="32"/>
        </w:rPr>
      </w:pPr>
      <w:r>
        <w:rPr>
          <w:rFonts w:hint="eastAsia" w:ascii="仿宋_GB2312" w:hAnsi="仿宋" w:cs="仿宋"/>
          <w:szCs w:val="32"/>
        </w:rPr>
        <w:t>邮箱：ysr20763994@126.com</w:t>
      </w:r>
    </w:p>
    <w:p>
      <w:pPr>
        <w:tabs>
          <w:tab w:val="left" w:pos="540"/>
        </w:tabs>
        <w:spacing w:before="50" w:line="540" w:lineRule="exact"/>
        <w:ind w:firstLine="576" w:firstLineChars="180"/>
        <w:rPr>
          <w:rFonts w:hint="eastAsia" w:ascii="仿宋_GB2312" w:hAnsi="仿宋"/>
          <w:szCs w:val="32"/>
        </w:rPr>
        <w:sectPr>
          <w:footerReference r:id="rId3" w:type="default"/>
          <w:footerReference r:id="rId4" w:type="even"/>
          <w:pgSz w:w="11906" w:h="16838"/>
          <w:pgMar w:top="2098" w:right="1474" w:bottom="1985" w:left="1588" w:header="851" w:footer="1701" w:gutter="0"/>
          <w:cols w:space="425" w:num="1"/>
          <w:titlePg/>
          <w:docGrid w:linePitch="435" w:charSpace="0"/>
        </w:sectPr>
      </w:pPr>
      <w:r>
        <w:rPr>
          <w:rFonts w:hint="eastAsia" w:ascii="仿宋_GB2312" w:hAnsi="仿宋" w:cs="仿宋"/>
          <w:szCs w:val="32"/>
        </w:rPr>
        <w:t>十一、本规定的解释权归中国大学生体育协会。</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Courier New">
    <w:panose1 w:val="02070309020205020404"/>
    <w:charset w:val="00"/>
    <w:family w:val="modern"/>
    <w:pitch w:val="default"/>
    <w:sig w:usb0="E0002AFF" w:usb1="C0007843" w:usb2="00000009" w:usb3="00000000" w:csb0="400001FF" w:csb1="FFFF0000"/>
  </w:font>
  <w:font w:name="方正小标宋简体">
    <w:altName w:val="Arial Unicode MS"/>
    <w:panose1 w:val="02010601030101010101"/>
    <w:charset w:val="86"/>
    <w:family w:val="auto"/>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楷体">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Arial">
    <w:panose1 w:val="020B0604020202020204"/>
    <w:charset w:val="00"/>
    <w:family w:val="auto"/>
    <w:pitch w:val="default"/>
    <w:sig w:usb0="E0002AFF" w:usb1="C0007843" w:usb2="00000009" w:usb3="00000000" w:csb0="400001FF" w:csb1="FFFF0000"/>
  </w:font>
  <w:font w:name="华文中宋">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4"/>
        <w:rFonts w:hint="eastAsia" w:ascii="宋体" w:hAnsi="宋体" w:eastAsia="宋体"/>
        <w:sz w:val="28"/>
        <w:szCs w:val="28"/>
      </w:rPr>
    </w:pPr>
    <w:r>
      <w:rPr>
        <w:rStyle w:val="4"/>
        <w:rFonts w:hint="eastAsia" w:ascii="宋体" w:hAnsi="宋体" w:eastAsia="宋体"/>
        <w:sz w:val="28"/>
        <w:szCs w:val="28"/>
      </w:rPr>
      <w:t xml:space="preserve">— </w:t>
    </w:r>
    <w:r>
      <w:rPr>
        <w:rStyle w:val="4"/>
        <w:rFonts w:ascii="宋体" w:hAnsi="宋体" w:eastAsia="宋体"/>
        <w:sz w:val="28"/>
        <w:szCs w:val="28"/>
      </w:rPr>
      <w:fldChar w:fldCharType="begin"/>
    </w:r>
    <w:r>
      <w:rPr>
        <w:rStyle w:val="4"/>
        <w:rFonts w:ascii="宋体" w:hAnsi="宋体" w:eastAsia="宋体"/>
        <w:sz w:val="28"/>
        <w:szCs w:val="28"/>
      </w:rPr>
      <w:instrText xml:space="preserve">PAGE  </w:instrText>
    </w:r>
    <w:r>
      <w:rPr>
        <w:rStyle w:val="4"/>
        <w:rFonts w:ascii="宋体" w:hAnsi="宋体" w:eastAsia="宋体"/>
        <w:sz w:val="28"/>
        <w:szCs w:val="28"/>
      </w:rPr>
      <w:fldChar w:fldCharType="separate"/>
    </w:r>
    <w:r>
      <w:rPr>
        <w:rStyle w:val="4"/>
        <w:rFonts w:ascii="宋体" w:hAnsi="宋体" w:eastAsia="宋体"/>
        <w:sz w:val="28"/>
        <w:szCs w:val="28"/>
      </w:rPr>
      <w:t>5</w:t>
    </w:r>
    <w:r>
      <w:rPr>
        <w:rStyle w:val="4"/>
        <w:rFonts w:ascii="宋体" w:hAnsi="宋体" w:eastAsia="宋体"/>
        <w:sz w:val="28"/>
        <w:szCs w:val="28"/>
      </w:rPr>
      <w:fldChar w:fldCharType="end"/>
    </w:r>
    <w:r>
      <w:rPr>
        <w:rStyle w:val="4"/>
        <w:rFonts w:hint="eastAsia" w:ascii="宋体" w:hAnsi="宋体" w:eastAsia="宋体"/>
        <w:sz w:val="28"/>
        <w:szCs w:val="28"/>
      </w:rPr>
      <w:t xml:space="preserve"> —</w:t>
    </w:r>
  </w:p>
  <w:p>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jc w:val="right"/>
      <w:rPr>
        <w:rStyle w:val="4"/>
        <w:rFonts w:hint="eastAsia" w:ascii="宋体" w:hAnsi="宋体" w:eastAsia="宋体"/>
        <w:sz w:val="28"/>
        <w:szCs w:val="28"/>
      </w:rPr>
    </w:pPr>
    <w:r>
      <w:rPr>
        <w:rStyle w:val="4"/>
        <w:rFonts w:hint="eastAsia" w:ascii="宋体" w:hAnsi="宋体" w:eastAsia="宋体"/>
        <w:sz w:val="28"/>
        <w:szCs w:val="28"/>
      </w:rPr>
      <w:t xml:space="preserve">— </w:t>
    </w:r>
    <w:r>
      <w:rPr>
        <w:rStyle w:val="4"/>
        <w:rFonts w:ascii="宋体" w:hAnsi="宋体" w:eastAsia="宋体"/>
        <w:sz w:val="28"/>
        <w:szCs w:val="28"/>
      </w:rPr>
      <w:fldChar w:fldCharType="begin"/>
    </w:r>
    <w:r>
      <w:rPr>
        <w:rStyle w:val="4"/>
        <w:rFonts w:ascii="宋体" w:hAnsi="宋体" w:eastAsia="宋体"/>
        <w:sz w:val="28"/>
        <w:szCs w:val="28"/>
      </w:rPr>
      <w:instrText xml:space="preserve">PAGE  </w:instrText>
    </w:r>
    <w:r>
      <w:rPr>
        <w:rStyle w:val="4"/>
        <w:rFonts w:ascii="宋体" w:hAnsi="宋体" w:eastAsia="宋体"/>
        <w:sz w:val="28"/>
        <w:szCs w:val="28"/>
      </w:rPr>
      <w:fldChar w:fldCharType="separate"/>
    </w:r>
    <w:r>
      <w:rPr>
        <w:rStyle w:val="4"/>
        <w:rFonts w:ascii="宋体" w:hAnsi="宋体" w:eastAsia="宋体"/>
        <w:sz w:val="28"/>
        <w:szCs w:val="28"/>
      </w:rPr>
      <w:t>6</w:t>
    </w:r>
    <w:r>
      <w:rPr>
        <w:rStyle w:val="4"/>
        <w:rFonts w:ascii="宋体" w:hAnsi="宋体" w:eastAsia="宋体"/>
        <w:sz w:val="28"/>
        <w:szCs w:val="28"/>
      </w:rPr>
      <w:fldChar w:fldCharType="end"/>
    </w:r>
    <w:r>
      <w:rPr>
        <w:rStyle w:val="4"/>
        <w:rFonts w:hint="eastAsia" w:ascii="宋体" w:hAnsi="宋体" w:eastAsia="宋体"/>
        <w:sz w:val="28"/>
        <w:szCs w:val="28"/>
      </w:rPr>
      <w:t xml:space="preserve"> —</w:t>
    </w:r>
  </w:p>
  <w:p>
    <w:pPr>
      <w:pStyle w:val="2"/>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1D85137"/>
    <w:rsid w:val="61D85137"/>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kern w:val="2"/>
      <w:sz w:val="32"/>
      <w:szCs w:val="24"/>
      <w:lang w:val="en-US" w:eastAsia="zh-CN" w:bidi="ar-SA"/>
    </w:rPr>
  </w:style>
  <w:style w:type="character" w:default="1" w:styleId="3">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 w:type="character" w:styleId="4">
    <w:name w:val="page number"/>
    <w:basedOn w:val="3"/>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Office_10.1.0.6065_F1E327BC-269C-435d-A152-05C5408002CA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2016-11-22T01:32:00Z</dcterms:created>
  <dc:creator>Administrator</dc:creator>
  <cp:lastModifiedBy>Administrator</cp:lastModifiedBy>
  <dcterms:modified xsi:type="dcterms:W3CDTF">2016-11-22T01:36:38Z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2052-10.1.0.6065</vt:lpwstr>
  </property>
</Properties>
</file>